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ind w:right="810"/>
        <w:jc w:val="center"/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Board Goals Proposal 2021-2022</w:t>
      </w:r>
    </w:p>
    <w:tbl>
      <w:tblPr>
        <w:tblStyle w:val="Table1"/>
        <w:tblW w:w="14025.0" w:type="dxa"/>
        <w:jc w:val="left"/>
        <w:tblInd w:w="-540.0" w:type="dxa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905"/>
        <w:gridCol w:w="12120"/>
        <w:tblGridChange w:id="0">
          <w:tblGrid>
            <w:gridCol w:w="1905"/>
            <w:gridCol w:w="1212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Committee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Goal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Governance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By December 2021/January 2022  secure 5 year charter renewal from DESE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Academic 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5% increase in proficiency + advanced with a 10% decrease in BB in ELA on state test in all tested grades by cohort by August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Set next set of academic goals  (3-5 years) for our strategic plan based on school review process by October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Development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Form a Development Junior Board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Remove the Committee from Governing Board structure and the Development Director reports out at board meetings. 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restart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Finance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Secure permanent financing for high school.  Maintain 45 days cash on hand and debt service coverage ratio of 1.2x for the next 5 years.  Working towards greater than 60 days of cash on hand after year 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Review and approve current attendance policies, tracking and reporting by December 2021. 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DEI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>
                <w:rFonts w:ascii="Poppins" w:cs="Poppins" w:eastAsia="Poppins" w:hAnsi="Poppi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highlight w:val="white"/>
                <w:rtl w:val="0"/>
              </w:rPr>
              <w:t xml:space="preserve">Form a new committee that reports out on pressing DEI issues from the schools.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